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Criminal Justice</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Wing- Mid Michigan College</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Buddy Boylen</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lboylen@cgresd.net</w:t>
      </w:r>
    </w:p>
    <w:p w:rsidR="00000000" w:rsidDel="00000000" w:rsidP="00000000" w:rsidRDefault="00000000" w:rsidRPr="00000000" w14:paraId="0000000D">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0F">
      <w:pPr>
        <w:spacing w:after="0" w:lineRule="auto"/>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i w:val="1"/>
          <w:sz w:val="12"/>
          <w:szCs w:val="12"/>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8">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wSrlMcv6TjcBhp8sEB/PHPPAAQ==">CgMxLjA4AHIhMXFRMF84d2hJWmlUbE9GVWRCM3lvOHEtZmQxdkI4NVRN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